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158" w:rsidRDefault="00552B17" w14:paraId="5707C6D0" w14:textId="14C5C1B1">
      <w:r>
        <w:t>RGPD – QCM</w:t>
      </w:r>
    </w:p>
    <w:p w:rsidR="00BA55CA" w:rsidRDefault="00552B17" w14:paraId="6E514287" w14:textId="41D8EB17">
      <w:r>
        <w:t>Les réponses sont indiquées en gras</w:t>
      </w:r>
    </w:p>
    <w:p w:rsidR="00552B17" w:rsidRDefault="00552B17" w14:paraId="7DB3CA99" w14:textId="0185D0B5">
      <w:r>
        <w:t>Q1 : Quelles sont les données qui peuvent ou pourraient être considérées comme sensibles ou particulières pour le RGPD et la loi Informatique et Libertés</w:t>
      </w:r>
    </w:p>
    <w:p w:rsidRPr="00552B17" w:rsidR="00552B17" w:rsidP="00552B17" w:rsidRDefault="00552B17" w14:paraId="4D0BBC39" w14:textId="22181EB6">
      <w:pPr>
        <w:pStyle w:val="Paragraphedeliste"/>
        <w:numPr>
          <w:ilvl w:val="0"/>
          <w:numId w:val="1"/>
        </w:numPr>
        <w:rPr>
          <w:b/>
          <w:bCs/>
        </w:rPr>
      </w:pPr>
      <w:r w:rsidRPr="00552B17">
        <w:rPr>
          <w:b/>
          <w:bCs/>
        </w:rPr>
        <w:t>Appartenance à un mouvement politique</w:t>
      </w:r>
    </w:p>
    <w:p w:rsidR="00552B17" w:rsidP="00552B17" w:rsidRDefault="00552B17" w14:paraId="5E2A4B14" w14:textId="66954D5C">
      <w:pPr>
        <w:pStyle w:val="Paragraphedeliste"/>
        <w:numPr>
          <w:ilvl w:val="0"/>
          <w:numId w:val="1"/>
        </w:numPr>
      </w:pPr>
      <w:r>
        <w:t>Adresse personnelle</w:t>
      </w:r>
    </w:p>
    <w:p w:rsidR="00552B17" w:rsidP="00552B17" w:rsidRDefault="00552B17" w14:paraId="257AA94A" w14:textId="56197381">
      <w:pPr>
        <w:pStyle w:val="Paragraphedeliste"/>
        <w:numPr>
          <w:ilvl w:val="0"/>
          <w:numId w:val="1"/>
        </w:numPr>
      </w:pPr>
      <w:r>
        <w:t>Mot de passe</w:t>
      </w:r>
    </w:p>
    <w:p w:rsidR="00552B17" w:rsidP="00552B17" w:rsidRDefault="00552B17" w14:paraId="6F777613" w14:textId="05BFDAB2">
      <w:pPr>
        <w:pStyle w:val="Paragraphedeliste"/>
        <w:numPr>
          <w:ilvl w:val="0"/>
          <w:numId w:val="1"/>
        </w:numPr>
      </w:pPr>
      <w:r>
        <w:t>Informations bancaires</w:t>
      </w:r>
    </w:p>
    <w:p w:rsidRPr="00552B17" w:rsidR="00552B17" w:rsidP="00552B17" w:rsidRDefault="00552B17" w14:paraId="20172B07" w14:textId="007CBC4A">
      <w:pPr>
        <w:pStyle w:val="Paragraphedeliste"/>
        <w:numPr>
          <w:ilvl w:val="0"/>
          <w:numId w:val="1"/>
        </w:numPr>
        <w:rPr>
          <w:b/>
          <w:bCs/>
        </w:rPr>
      </w:pPr>
      <w:r w:rsidRPr="00552B17">
        <w:rPr>
          <w:b/>
          <w:bCs/>
        </w:rPr>
        <w:t>Géolocalisation</w:t>
      </w:r>
    </w:p>
    <w:p w:rsidRPr="00552B17" w:rsidR="00552B17" w:rsidP="00552B17" w:rsidRDefault="00552B17" w14:paraId="3603C9C7" w14:textId="73758456">
      <w:pPr>
        <w:pStyle w:val="Paragraphedeliste"/>
        <w:numPr>
          <w:ilvl w:val="0"/>
          <w:numId w:val="1"/>
        </w:numPr>
        <w:rPr>
          <w:b/>
          <w:bCs/>
        </w:rPr>
      </w:pPr>
      <w:r w:rsidRPr="00552B17">
        <w:rPr>
          <w:b/>
          <w:bCs/>
        </w:rPr>
        <w:t>Poids d’une personne</w:t>
      </w:r>
    </w:p>
    <w:p w:rsidR="00552B17" w:rsidP="00552B17" w:rsidRDefault="00552B17" w14:paraId="319C7A67" w14:textId="47CF4791">
      <w:pPr>
        <w:pStyle w:val="Paragraphedeliste"/>
        <w:numPr>
          <w:ilvl w:val="0"/>
          <w:numId w:val="1"/>
        </w:numPr>
        <w:rPr>
          <w:b/>
          <w:bCs/>
        </w:rPr>
      </w:pPr>
      <w:r w:rsidRPr="00552B17">
        <w:rPr>
          <w:b/>
          <w:bCs/>
        </w:rPr>
        <w:t>Participation à une association religieuse</w:t>
      </w:r>
    </w:p>
    <w:p w:rsidRPr="00552B17" w:rsidR="00552B17" w:rsidP="00552B17" w:rsidRDefault="00552B17" w14:paraId="205D7512" w14:textId="1AC3EEA0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Enregistrement de frappe</w:t>
      </w:r>
    </w:p>
    <w:p w:rsidR="00552B17" w:rsidP="00552B17" w:rsidRDefault="00552B17" w14:paraId="0AECF8DF" w14:textId="3B7C574A">
      <w:pPr>
        <w:pStyle w:val="Paragraphedeliste"/>
        <w:numPr>
          <w:ilvl w:val="0"/>
          <w:numId w:val="1"/>
        </w:numPr>
      </w:pPr>
      <w:r>
        <w:t>Signature manuscrite simple</w:t>
      </w:r>
    </w:p>
    <w:p w:rsidRPr="00552B17" w:rsidR="00552B17" w:rsidP="00552B17" w:rsidRDefault="00552B17" w14:paraId="737CC8F0" w14:textId="74CA5ED7">
      <w:pPr>
        <w:pStyle w:val="Paragraphedeliste"/>
        <w:numPr>
          <w:ilvl w:val="0"/>
          <w:numId w:val="1"/>
        </w:numPr>
        <w:rPr>
          <w:b/>
          <w:bCs/>
        </w:rPr>
      </w:pPr>
      <w:r w:rsidRPr="00552B17">
        <w:rPr>
          <w:b/>
          <w:bCs/>
        </w:rPr>
        <w:t>Informations sur un renoncement de soins</w:t>
      </w:r>
    </w:p>
    <w:p w:rsidRPr="001926C6" w:rsidR="00552B17" w:rsidP="00552B17" w:rsidRDefault="00552B17" w14:paraId="635F6645" w14:textId="476EE1EE">
      <w:pPr>
        <w:pStyle w:val="Paragraphedeliste"/>
        <w:numPr>
          <w:ilvl w:val="0"/>
          <w:numId w:val="1"/>
        </w:numPr>
        <w:rPr>
          <w:b/>
          <w:bCs/>
        </w:rPr>
      </w:pPr>
      <w:r w:rsidRPr="00552B17">
        <w:rPr>
          <w:b/>
          <w:bCs/>
        </w:rPr>
        <w:t>Algorithme de reconnaissance faciale</w:t>
      </w:r>
    </w:p>
    <w:p w:rsidR="00552B17" w:rsidP="00552B17" w:rsidRDefault="00552B17" w14:paraId="28F03ADD" w14:textId="31BCA2D9">
      <w:r>
        <w:t xml:space="preserve">L’appartenance à un mouvement politique, la participation à une association religieuse est spécifiquement indiquée dans l’article 9 du RGPD. </w:t>
      </w:r>
    </w:p>
    <w:p w:rsidR="00552B17" w:rsidP="00552B17" w:rsidRDefault="00552B17" w14:paraId="5E9565B0" w14:textId="7F3DAB16">
      <w:r>
        <w:t>Les adresses personnelles, les mots de passe et les informations bancaires ne sont pas des données sensibles pour l’article 9 du RGPD, car leur traitement ne peut entraîner de discriminations ou d’atteintes aux libertés fondamentales. Cependant, elles sont sensibles pour nous usagers ou pour les organisations car l’atteinte à la sécurité de ces données pourraient avoir des impacts considérables.</w:t>
      </w:r>
    </w:p>
    <w:p w:rsidR="00552B17" w:rsidP="00552B17" w:rsidRDefault="00552B17" w14:paraId="5E5415F3" w14:textId="5A68FA51">
      <w:r>
        <w:t>La géolocalisation n’est pas une donnée sensible en tant que tel, mais elle est parfois qualifiée de donnée « hautement personnelle » et devenir sensible si elle permet de détecter la fréquentation de certains lieux de cultes (appartenance religieuse) ou de certains établissements hospitaliers (données de santé).</w:t>
      </w:r>
    </w:p>
    <w:p w:rsidR="001926C6" w:rsidP="00552B17" w:rsidRDefault="001926C6" w14:paraId="698CDCA3" w14:textId="5C51C410"/>
    <w:p w:rsidR="00552B17" w:rsidP="00552B17" w:rsidRDefault="00552B17" w14:paraId="285AEED9" w14:textId="7E1F0F77">
      <w:r>
        <w:t>Q2 : Quelles sont les finalités déterminées et explicites ?</w:t>
      </w:r>
    </w:p>
    <w:p w:rsidR="00552B17" w:rsidP="00552B17" w:rsidRDefault="00552B17" w14:paraId="2B0642DF" w14:textId="7D129A16">
      <w:pPr>
        <w:pStyle w:val="Paragraphedeliste"/>
        <w:numPr>
          <w:ilvl w:val="0"/>
          <w:numId w:val="2"/>
        </w:numPr>
      </w:pPr>
      <w:r>
        <w:t>Recueillir les données des usagers</w:t>
      </w:r>
    </w:p>
    <w:p w:rsidRPr="001926C6" w:rsidR="00552B17" w:rsidP="00552B17" w:rsidRDefault="00552B17" w14:paraId="2D47BBEF" w14:textId="31216032">
      <w:pPr>
        <w:pStyle w:val="Paragraphedeliste"/>
        <w:numPr>
          <w:ilvl w:val="0"/>
          <w:numId w:val="2"/>
        </w:numPr>
        <w:rPr>
          <w:b/>
          <w:bCs/>
        </w:rPr>
      </w:pPr>
      <w:r w:rsidRPr="001926C6">
        <w:rPr>
          <w:b/>
          <w:bCs/>
        </w:rPr>
        <w:t>Organiser la répartition d’ateliers de formation par niveau</w:t>
      </w:r>
    </w:p>
    <w:p w:rsidR="00552B17" w:rsidP="00552B17" w:rsidRDefault="00552B17" w14:paraId="4BE6236F" w14:textId="2944E1E0">
      <w:pPr>
        <w:pStyle w:val="Paragraphedeliste"/>
        <w:numPr>
          <w:ilvl w:val="0"/>
          <w:numId w:val="2"/>
        </w:numPr>
      </w:pPr>
      <w:r>
        <w:t>Analyser la navigation</w:t>
      </w:r>
    </w:p>
    <w:p w:rsidRPr="001926C6" w:rsidR="001926C6" w:rsidP="29F6996C" w:rsidRDefault="001926C6" w14:paraId="1C719572" w14:textId="7EF14635">
      <w:pPr>
        <w:pStyle w:val="Paragraphedeliste"/>
        <w:numPr>
          <w:ilvl w:val="0"/>
          <w:numId w:val="2"/>
        </w:numPr>
        <w:rPr>
          <w:b w:val="1"/>
          <w:bCs w:val="1"/>
        </w:rPr>
      </w:pPr>
      <w:r w:rsidRPr="29F6996C" w:rsidR="3186FE0B">
        <w:rPr>
          <w:b w:val="1"/>
          <w:bCs w:val="1"/>
        </w:rPr>
        <w:t>Faire de la publicité ciblée</w:t>
      </w:r>
    </w:p>
    <w:p w:rsidR="29F6996C" w:rsidP="29F6996C" w:rsidRDefault="29F6996C" w14:paraId="7CC29116" w14:textId="4796A6E3">
      <w:pPr>
        <w:pStyle w:val="Normal"/>
        <w:rPr>
          <w:b w:val="1"/>
          <w:bCs w:val="1"/>
        </w:rPr>
      </w:pPr>
    </w:p>
    <w:p w:rsidR="29F6996C" w:rsidP="29F6996C" w:rsidRDefault="29F6996C" w14:paraId="2DBB3B5A" w14:textId="6D387830">
      <w:pPr>
        <w:pStyle w:val="Normal"/>
        <w:rPr>
          <w:b w:val="1"/>
          <w:bCs w:val="1"/>
        </w:rPr>
      </w:pPr>
    </w:p>
    <w:p w:rsidR="29F6996C" w:rsidP="29F6996C" w:rsidRDefault="29F6996C" w14:paraId="432961C8" w14:textId="039B2927">
      <w:pPr>
        <w:pStyle w:val="Normal"/>
        <w:rPr>
          <w:b w:val="1"/>
          <w:bCs w:val="1"/>
        </w:rPr>
      </w:pPr>
    </w:p>
    <w:p w:rsidR="29F6996C" w:rsidP="29F6996C" w:rsidRDefault="29F6996C" w14:paraId="45EA5619" w14:textId="5D237E16">
      <w:pPr>
        <w:pStyle w:val="Normal"/>
        <w:rPr>
          <w:b w:val="1"/>
          <w:bCs w:val="1"/>
        </w:rPr>
      </w:pPr>
    </w:p>
    <w:p w:rsidR="001926C6" w:rsidP="001926C6" w:rsidRDefault="001926C6" w14:paraId="69811D5C" w14:textId="57EB492B">
      <w:r>
        <w:lastRenderedPageBreak/>
        <w:t>Q3 : Quelles sont les finalités légitimes ?</w:t>
      </w:r>
    </w:p>
    <w:p w:rsidR="001926C6" w:rsidP="001926C6" w:rsidRDefault="001926C6" w14:paraId="042016CF" w14:textId="0FE9D9F4">
      <w:pPr>
        <w:pStyle w:val="Paragraphedeliste"/>
        <w:numPr>
          <w:ilvl w:val="0"/>
          <w:numId w:val="3"/>
        </w:numPr>
      </w:pPr>
      <w:r>
        <w:t>Surveillance vidéo en continu d’un salarié</w:t>
      </w:r>
    </w:p>
    <w:p w:rsidRPr="001926C6" w:rsidR="001926C6" w:rsidP="001926C6" w:rsidRDefault="001926C6" w14:paraId="59A8457F" w14:textId="66DADDBA">
      <w:pPr>
        <w:pStyle w:val="Paragraphedeliste"/>
        <w:numPr>
          <w:ilvl w:val="0"/>
          <w:numId w:val="3"/>
        </w:numPr>
        <w:rPr>
          <w:b/>
          <w:bCs/>
        </w:rPr>
      </w:pPr>
      <w:r w:rsidRPr="001926C6">
        <w:rPr>
          <w:b/>
          <w:bCs/>
        </w:rPr>
        <w:t>Calcul de l’impôt au regard de la situation économique du citoyen</w:t>
      </w:r>
    </w:p>
    <w:p w:rsidR="001926C6" w:rsidP="001926C6" w:rsidRDefault="001926C6" w14:paraId="439F8B4B" w14:textId="3891F9E0">
      <w:pPr>
        <w:pStyle w:val="Paragraphedeliste"/>
        <w:numPr>
          <w:ilvl w:val="0"/>
          <w:numId w:val="3"/>
        </w:numPr>
      </w:pPr>
      <w:r>
        <w:t>Géolocalisation des utilisateurs d’une application mobile de discussion</w:t>
      </w:r>
    </w:p>
    <w:p w:rsidR="001926C6" w:rsidP="29F6996C" w:rsidRDefault="001926C6" w14:paraId="0F7CA844" w14:textId="10D6D6E7">
      <w:pPr>
        <w:pStyle w:val="Paragraphedeliste"/>
        <w:numPr>
          <w:ilvl w:val="0"/>
          <w:numId w:val="3"/>
        </w:numPr>
        <w:rPr>
          <w:b w:val="1"/>
          <w:bCs w:val="1"/>
        </w:rPr>
      </w:pPr>
      <w:r w:rsidRPr="29F6996C" w:rsidR="77560929">
        <w:rPr>
          <w:b w:val="1"/>
          <w:bCs w:val="1"/>
        </w:rPr>
        <w:t>Livraison à l’adresse du domicile du client</w:t>
      </w:r>
    </w:p>
    <w:p w:rsidRPr="001926C6" w:rsidR="001926C6" w:rsidP="001926C6" w:rsidRDefault="001926C6" w14:paraId="5D7512FB" w14:textId="77777777">
      <w:r w:rsidRPr="001926C6">
        <w:t>Q4 : Parmi ces informations personnelles, lesquelles peuvent être collectés par une association sportive lorsque la finalité du traitement est la gestion administrative de ses membres et notamment la gestion des cotisations ?</w:t>
      </w:r>
    </w:p>
    <w:p w:rsidRPr="001926C6" w:rsidR="001926C6" w:rsidP="001926C6" w:rsidRDefault="001926C6" w14:paraId="59EEDF3A" w14:textId="55F6F97E">
      <w:pPr>
        <w:pStyle w:val="Paragraphedeliste"/>
        <w:numPr>
          <w:ilvl w:val="0"/>
          <w:numId w:val="4"/>
        </w:numPr>
        <w:rPr>
          <w:b/>
          <w:bCs/>
        </w:rPr>
      </w:pPr>
      <w:r w:rsidRPr="001926C6">
        <w:rPr>
          <w:b/>
          <w:bCs/>
        </w:rPr>
        <w:t>Identité</w:t>
      </w:r>
    </w:p>
    <w:p w:rsidRPr="001926C6" w:rsidR="001926C6" w:rsidP="001926C6" w:rsidRDefault="001926C6" w14:paraId="49455086" w14:textId="3D5C58EB">
      <w:pPr>
        <w:pStyle w:val="Paragraphedeliste"/>
        <w:numPr>
          <w:ilvl w:val="0"/>
          <w:numId w:val="4"/>
        </w:numPr>
      </w:pPr>
      <w:r w:rsidRPr="001926C6">
        <w:t>Numéro de sécurité social</w:t>
      </w:r>
    </w:p>
    <w:p w:rsidRPr="001926C6" w:rsidR="001926C6" w:rsidP="001926C6" w:rsidRDefault="001926C6" w14:paraId="20A40D21" w14:textId="5806A3F5">
      <w:pPr>
        <w:pStyle w:val="Paragraphedeliste"/>
        <w:numPr>
          <w:ilvl w:val="0"/>
          <w:numId w:val="4"/>
        </w:numPr>
        <w:rPr>
          <w:b/>
          <w:bCs/>
        </w:rPr>
      </w:pPr>
      <w:r w:rsidRPr="001926C6">
        <w:rPr>
          <w:b/>
          <w:bCs/>
        </w:rPr>
        <w:t>Adresse postale</w:t>
      </w:r>
    </w:p>
    <w:p w:rsidRPr="001926C6" w:rsidR="001926C6" w:rsidP="001926C6" w:rsidRDefault="001926C6" w14:paraId="7912B004" w14:textId="703EDE69">
      <w:pPr>
        <w:pStyle w:val="Paragraphedeliste"/>
        <w:numPr>
          <w:ilvl w:val="0"/>
          <w:numId w:val="4"/>
        </w:numPr>
        <w:rPr>
          <w:b/>
          <w:bCs/>
        </w:rPr>
      </w:pPr>
      <w:r w:rsidRPr="001926C6">
        <w:rPr>
          <w:b/>
          <w:bCs/>
        </w:rPr>
        <w:t xml:space="preserve">Adresse </w:t>
      </w:r>
      <w:proofErr w:type="gramStart"/>
      <w:r w:rsidRPr="001926C6">
        <w:rPr>
          <w:b/>
          <w:bCs/>
        </w:rPr>
        <w:t>e-mail</w:t>
      </w:r>
      <w:proofErr w:type="gramEnd"/>
    </w:p>
    <w:p w:rsidRPr="001926C6" w:rsidR="001926C6" w:rsidP="001926C6" w:rsidRDefault="001926C6" w14:paraId="64954F02" w14:textId="3C21258F">
      <w:pPr>
        <w:pStyle w:val="Paragraphedeliste"/>
        <w:numPr>
          <w:ilvl w:val="0"/>
          <w:numId w:val="4"/>
        </w:numPr>
        <w:rPr>
          <w:b/>
          <w:bCs/>
        </w:rPr>
      </w:pPr>
      <w:r w:rsidRPr="001926C6">
        <w:rPr>
          <w:b/>
          <w:bCs/>
        </w:rPr>
        <w:t>Informations bancaires</w:t>
      </w:r>
    </w:p>
    <w:p w:rsidR="00BA55CA" w:rsidP="00BA55CA" w:rsidRDefault="001926C6" w14:paraId="09929E6C" w14:textId="75F2FC67">
      <w:pPr>
        <w:pStyle w:val="Paragraphedeliste"/>
        <w:numPr>
          <w:ilvl w:val="0"/>
          <w:numId w:val="4"/>
        </w:numPr>
      </w:pPr>
      <w:r w:rsidRPr="001926C6">
        <w:t>Régime alimentaire</w:t>
      </w:r>
    </w:p>
    <w:p w:rsidR="00BA55CA" w:rsidP="00BA55CA" w:rsidRDefault="00BA55CA" w14:paraId="0C7357E6" w14:textId="25A442F5">
      <w:r>
        <w:t>Q5 : Quel est le délai de notification à la CNIL après une violation de données à caractère personnel ?</w:t>
      </w:r>
    </w:p>
    <w:p w:rsidR="00BA55CA" w:rsidP="00BA55CA" w:rsidRDefault="00BA55CA" w14:paraId="4BA6D370" w14:textId="4D1A3CED">
      <w:pPr>
        <w:pStyle w:val="Paragraphedeliste"/>
        <w:numPr>
          <w:ilvl w:val="0"/>
          <w:numId w:val="5"/>
        </w:numPr>
      </w:pPr>
      <w:r>
        <w:t>24 heures</w:t>
      </w:r>
    </w:p>
    <w:p w:rsidRPr="00BA55CA" w:rsidR="00BA55CA" w:rsidP="00BA55CA" w:rsidRDefault="00BA55CA" w14:paraId="1674AFAF" w14:textId="53A42CDA">
      <w:pPr>
        <w:pStyle w:val="Paragraphedeliste"/>
        <w:numPr>
          <w:ilvl w:val="0"/>
          <w:numId w:val="5"/>
        </w:numPr>
        <w:rPr>
          <w:b/>
          <w:bCs/>
        </w:rPr>
      </w:pPr>
      <w:r w:rsidRPr="00BA55CA">
        <w:rPr>
          <w:b/>
          <w:bCs/>
        </w:rPr>
        <w:t>72 heures</w:t>
      </w:r>
    </w:p>
    <w:p w:rsidR="00BA55CA" w:rsidP="00BA55CA" w:rsidRDefault="00BA55CA" w14:paraId="725E94ED" w14:textId="77AD775D">
      <w:pPr>
        <w:pStyle w:val="Paragraphedeliste"/>
        <w:numPr>
          <w:ilvl w:val="0"/>
          <w:numId w:val="5"/>
        </w:numPr>
      </w:pPr>
      <w:r>
        <w:t>7 jours</w:t>
      </w:r>
    </w:p>
    <w:p w:rsidR="00BA55CA" w:rsidP="00BA55CA" w:rsidRDefault="00BA55CA" w14:paraId="41A8DE82" w14:textId="75C59AB7">
      <w:pPr>
        <w:pStyle w:val="Paragraphedeliste"/>
        <w:numPr>
          <w:ilvl w:val="0"/>
          <w:numId w:val="5"/>
        </w:numPr>
      </w:pPr>
      <w:r>
        <w:t>30 jours</w:t>
      </w:r>
    </w:p>
    <w:p w:rsidR="00BA55CA" w:rsidP="00BA55CA" w:rsidRDefault="00BA55CA" w14:paraId="78BAB9ED" w14:textId="15A8A17B">
      <w:r>
        <w:t>Q6 : Il est nécessaire de notifier systématiquement à la CNIL toute violation de données à caractère personnelle</w:t>
      </w:r>
    </w:p>
    <w:p w:rsidR="00BA55CA" w:rsidP="00BA55CA" w:rsidRDefault="00BA55CA" w14:paraId="33D717E3" w14:textId="4AB76C7B">
      <w:pPr>
        <w:pStyle w:val="Paragraphedeliste"/>
        <w:numPr>
          <w:ilvl w:val="0"/>
          <w:numId w:val="8"/>
        </w:numPr>
      </w:pPr>
      <w:r>
        <w:t>Vrai</w:t>
      </w:r>
    </w:p>
    <w:p w:rsidRPr="00BA55CA" w:rsidR="00BA55CA" w:rsidP="00BA55CA" w:rsidRDefault="00BA55CA" w14:paraId="45E79815" w14:textId="28799F78">
      <w:pPr>
        <w:pStyle w:val="Paragraphedeliste"/>
        <w:numPr>
          <w:ilvl w:val="0"/>
          <w:numId w:val="8"/>
        </w:numPr>
        <w:rPr>
          <w:b/>
          <w:bCs/>
        </w:rPr>
      </w:pPr>
      <w:r w:rsidRPr="00BA55CA">
        <w:rPr>
          <w:b/>
          <w:bCs/>
        </w:rPr>
        <w:t>Faux</w:t>
      </w:r>
    </w:p>
    <w:p w:rsidR="00BA55CA" w:rsidP="00BA55CA" w:rsidRDefault="00BA55CA" w14:paraId="396B74AF" w14:textId="47065639">
      <w:r>
        <w:t>Q7 :  Le RGPD ne concerne que les données au format numérique</w:t>
      </w:r>
    </w:p>
    <w:p w:rsidR="00BA55CA" w:rsidP="00BA55CA" w:rsidRDefault="00BA55CA" w14:paraId="237208BA" w14:textId="7E76853E">
      <w:pPr>
        <w:pStyle w:val="Paragraphedeliste"/>
        <w:numPr>
          <w:ilvl w:val="0"/>
          <w:numId w:val="6"/>
        </w:numPr>
      </w:pPr>
      <w:r>
        <w:t>Vrai</w:t>
      </w:r>
    </w:p>
    <w:p w:rsidR="00BA55CA" w:rsidP="00BA55CA" w:rsidRDefault="00BA55CA" w14:paraId="476EA0E3" w14:textId="6C934940">
      <w:pPr>
        <w:pStyle w:val="Paragraphedeliste"/>
        <w:numPr>
          <w:ilvl w:val="0"/>
          <w:numId w:val="6"/>
        </w:numPr>
        <w:rPr>
          <w:b/>
          <w:bCs/>
        </w:rPr>
      </w:pPr>
      <w:r w:rsidRPr="00BA55CA">
        <w:rPr>
          <w:b/>
          <w:bCs/>
        </w:rPr>
        <w:t>Faux</w:t>
      </w:r>
    </w:p>
    <w:p w:rsidR="00BA55CA" w:rsidP="00BA55CA" w:rsidRDefault="00BA55CA" w14:paraId="3BD4131A" w14:textId="3A81632B">
      <w:r>
        <w:t>Q8 : Une donnée anonymisée n’est pas concernée par le RGPD</w:t>
      </w:r>
    </w:p>
    <w:p w:rsidRPr="00BA55CA" w:rsidR="00BA55CA" w:rsidP="00BA55CA" w:rsidRDefault="00BA55CA" w14:paraId="5CBA85F4" w14:textId="22A7693D">
      <w:pPr>
        <w:pStyle w:val="Paragraphedeliste"/>
        <w:numPr>
          <w:ilvl w:val="0"/>
          <w:numId w:val="7"/>
        </w:numPr>
        <w:rPr>
          <w:b/>
          <w:bCs/>
        </w:rPr>
      </w:pPr>
      <w:r w:rsidRPr="00BA55CA">
        <w:rPr>
          <w:b/>
          <w:bCs/>
        </w:rPr>
        <w:t>Vrai</w:t>
      </w:r>
    </w:p>
    <w:p w:rsidR="00BA55CA" w:rsidP="00BA55CA" w:rsidRDefault="00BA55CA" w14:paraId="54D24C70" w14:textId="33318297">
      <w:pPr>
        <w:pStyle w:val="Paragraphedeliste"/>
        <w:numPr>
          <w:ilvl w:val="0"/>
          <w:numId w:val="7"/>
        </w:numPr>
      </w:pPr>
      <w:r>
        <w:t>Faux</w:t>
      </w:r>
    </w:p>
    <w:p w:rsidR="00BA55CA" w:rsidP="00BA55CA" w:rsidRDefault="00BA55CA" w14:paraId="30E36027" w14:textId="77777777"/>
    <w:p w:rsidR="00BA55CA" w:rsidP="00BA55CA" w:rsidRDefault="00BA55CA" w14:paraId="293FBAA7" w14:textId="77777777"/>
    <w:p w:rsidR="29F6996C" w:rsidRDefault="29F6996C" w14:paraId="6F3A6351" w14:textId="58271C76"/>
    <w:p w:rsidR="29F6996C" w:rsidP="29F6996C" w:rsidRDefault="29F6996C" w14:paraId="6FA6C68B" w14:textId="50B962C2">
      <w:pPr>
        <w:pStyle w:val="Normal"/>
      </w:pPr>
    </w:p>
    <w:p w:rsidR="00BA55CA" w:rsidP="00BA55CA" w:rsidRDefault="00BA55CA" w14:paraId="3BFDA9ED" w14:textId="1A6CA20F">
      <w:r>
        <w:lastRenderedPageBreak/>
        <w:t>Q9 : Lorsqu’un responsable de traitement met en œuvre un traitement, il doit obligatoirement :</w:t>
      </w:r>
    </w:p>
    <w:p w:rsidRPr="00BA55CA" w:rsidR="00BA55CA" w:rsidP="00BA55CA" w:rsidRDefault="00BA55CA" w14:paraId="7A411CD1" w14:textId="40B0E051">
      <w:pPr>
        <w:pStyle w:val="Paragraphedeliste"/>
        <w:numPr>
          <w:ilvl w:val="0"/>
          <w:numId w:val="9"/>
        </w:numPr>
        <w:rPr>
          <w:b/>
          <w:bCs/>
        </w:rPr>
      </w:pPr>
      <w:r w:rsidRPr="00BA55CA">
        <w:rPr>
          <w:b/>
          <w:bCs/>
        </w:rPr>
        <w:t>L’inscrire au registre de traitement de l’organisme</w:t>
      </w:r>
    </w:p>
    <w:p w:rsidR="00BA55CA" w:rsidP="00BA55CA" w:rsidRDefault="00BA55CA" w14:paraId="0DAE6FF7" w14:textId="06E069B0">
      <w:pPr>
        <w:pStyle w:val="Paragraphedeliste"/>
        <w:numPr>
          <w:ilvl w:val="0"/>
          <w:numId w:val="9"/>
        </w:numPr>
      </w:pPr>
      <w:r>
        <w:t>Le déclarer à la CNIL</w:t>
      </w:r>
    </w:p>
    <w:p w:rsidR="00BA55CA" w:rsidP="00BA55CA" w:rsidRDefault="00BA55CA" w14:paraId="6959488B" w14:textId="55982B65">
      <w:pPr>
        <w:pStyle w:val="Paragraphedeliste"/>
        <w:numPr>
          <w:ilvl w:val="0"/>
          <w:numId w:val="9"/>
        </w:numPr>
        <w:rPr/>
      </w:pPr>
      <w:r w:rsidR="2BBF9851">
        <w:rPr/>
        <w:t>Le notifier au salarié de l’organisme</w:t>
      </w:r>
    </w:p>
    <w:p w:rsidR="29F6996C" w:rsidP="29F6996C" w:rsidRDefault="29F6996C" w14:paraId="1B26794A" w14:textId="5A196B00">
      <w:pPr>
        <w:pStyle w:val="Paragraphedeliste"/>
        <w:ind w:left="720"/>
      </w:pPr>
    </w:p>
    <w:p w:rsidR="00BA55CA" w:rsidP="00BA55CA" w:rsidRDefault="00BA55CA" w14:paraId="414F8FA7" w14:textId="2D8DB04F">
      <w:r>
        <w:t xml:space="preserve">Q10 : </w:t>
      </w:r>
      <w:r>
        <w:t xml:space="preserve">Une entreprise impose à ses salariés l’installation d’un agent de sécurité sur leurs postes (EDR) et souhaite fonder ce traitement sur le consentement des salariés, via une case à cocher dans un portail RH. </w:t>
      </w:r>
      <w:r>
        <w:t>Est-ce valide ou non-conforme ?</w:t>
      </w:r>
    </w:p>
    <w:p w:rsidR="00BA55CA" w:rsidP="00BA55CA" w:rsidRDefault="00BA55CA" w14:paraId="453B1535" w14:textId="67B2DDB5">
      <w:pPr>
        <w:pStyle w:val="Paragraphedeliste"/>
        <w:numPr>
          <w:ilvl w:val="0"/>
          <w:numId w:val="11"/>
        </w:numPr>
      </w:pPr>
      <w:r>
        <w:t xml:space="preserve">Valide : le consentement est toujours possible si l’information est claire et la case </w:t>
      </w:r>
      <w:proofErr w:type="gramStart"/>
      <w:r>
        <w:t>non pré</w:t>
      </w:r>
      <w:proofErr w:type="gramEnd"/>
      <w:r>
        <w:t>-</w:t>
      </w:r>
      <w:r>
        <w:t>cochée.</w:t>
      </w:r>
      <w:r>
        <w:t xml:space="preserve"> </w:t>
      </w:r>
    </w:p>
    <w:p w:rsidR="00BA55CA" w:rsidP="00BA55CA" w:rsidRDefault="00BA55CA" w14:paraId="3EBE14D8" w14:textId="77777777">
      <w:pPr>
        <w:pStyle w:val="Paragraphedeliste"/>
        <w:numPr>
          <w:ilvl w:val="0"/>
          <w:numId w:val="11"/>
        </w:numPr>
      </w:pPr>
      <w:r>
        <w:t>Valide : le consentement est approprié car il s’agit d’un traitement de sécurité.</w:t>
      </w:r>
    </w:p>
    <w:p w:rsidRPr="00BA55CA" w:rsidR="00BA55CA" w:rsidP="00BA55CA" w:rsidRDefault="00BA55CA" w14:paraId="475E2BDA" w14:textId="02C5137B">
      <w:pPr>
        <w:pStyle w:val="Paragraphedeliste"/>
        <w:numPr>
          <w:ilvl w:val="0"/>
          <w:numId w:val="11"/>
        </w:numPr>
        <w:rPr>
          <w:b/>
          <w:bCs/>
        </w:rPr>
      </w:pPr>
      <w:r w:rsidRPr="00BA55CA">
        <w:rPr>
          <w:b/>
          <w:bCs/>
        </w:rPr>
        <w:t>Non conforme : en contexte de subordination, le consentement est rarement “libre” ; il faut privilégier une autre base légale (ex. obligation légale ou intérêt légitime) et documenter.</w:t>
      </w:r>
    </w:p>
    <w:p w:rsidR="00BA55CA" w:rsidP="00BA55CA" w:rsidRDefault="00BA55CA" w14:paraId="6B26131B" w14:textId="6537EADF">
      <w:pPr>
        <w:pStyle w:val="Paragraphedeliste"/>
        <w:numPr>
          <w:ilvl w:val="0"/>
          <w:numId w:val="11"/>
        </w:numPr>
        <w:rPr/>
      </w:pPr>
      <w:r w:rsidR="2BBF9851">
        <w:rPr/>
        <w:t> Non conforme uniquement si l’EDR collecte des données sensibles</w:t>
      </w:r>
    </w:p>
    <w:p w:rsidR="29F6996C" w:rsidP="29F6996C" w:rsidRDefault="29F6996C" w14:paraId="73FCFCEA" w14:textId="56FD5B38">
      <w:pPr>
        <w:pStyle w:val="Paragraphedeliste"/>
        <w:ind w:left="720"/>
      </w:pPr>
    </w:p>
    <w:p w:rsidR="00BA55CA" w:rsidP="00BA55CA" w:rsidRDefault="00BA55CA" w14:paraId="673AA6D1" w14:textId="67644B12">
      <w:r>
        <w:t xml:space="preserve">Q11 : </w:t>
      </w:r>
      <w:r>
        <w:t xml:space="preserve">Un ransomware chiffre un serveur contenant des données personnelles. Aucune exfiltration n’est prouvée, mais les données sont indisponibles pendant 48h, puis restaurées depuis backup. </w:t>
      </w:r>
      <w:r>
        <w:t>Comment qualifier cet incident de sécurité ?</w:t>
      </w:r>
    </w:p>
    <w:p w:rsidR="00BA55CA" w:rsidP="00BA55CA" w:rsidRDefault="00BA55CA" w14:paraId="501E8394" w14:textId="3EA2E1C4">
      <w:pPr>
        <w:pStyle w:val="Paragraphedeliste"/>
        <w:numPr>
          <w:ilvl w:val="0"/>
          <w:numId w:val="12"/>
        </w:numPr>
      </w:pPr>
      <w:r>
        <w:t>Ce n’est pas une violation car il n’y a pas d’exfiltration.</w:t>
      </w:r>
    </w:p>
    <w:p w:rsidRPr="00BA55CA" w:rsidR="00BA55CA" w:rsidP="00BA55CA" w:rsidRDefault="00BA55CA" w14:paraId="3DAAB4EF" w14:textId="66117825">
      <w:pPr>
        <w:pStyle w:val="Paragraphedeliste"/>
        <w:numPr>
          <w:ilvl w:val="0"/>
          <w:numId w:val="12"/>
        </w:numPr>
        <w:rPr>
          <w:b/>
          <w:bCs/>
        </w:rPr>
      </w:pPr>
      <w:r w:rsidRPr="00BA55CA">
        <w:rPr>
          <w:b/>
          <w:bCs/>
        </w:rPr>
        <w:t>C’est une violation (atteinte à la disponibilité)</w:t>
      </w:r>
      <w:r w:rsidRPr="00BA55CA">
        <w:rPr>
          <w:b/>
          <w:bCs/>
        </w:rPr>
        <w:t xml:space="preserve">. Il faut </w:t>
      </w:r>
      <w:r w:rsidRPr="00BA55CA">
        <w:rPr>
          <w:b/>
          <w:bCs/>
        </w:rPr>
        <w:t>noti</w:t>
      </w:r>
      <w:r w:rsidRPr="00BA55CA">
        <w:rPr>
          <w:b/>
          <w:bCs/>
        </w:rPr>
        <w:t xml:space="preserve">fier </w:t>
      </w:r>
      <w:r w:rsidRPr="00BA55CA">
        <w:rPr>
          <w:b/>
          <w:bCs/>
        </w:rPr>
        <w:t>l’autorité s</w:t>
      </w:r>
      <w:r w:rsidRPr="00BA55CA">
        <w:rPr>
          <w:b/>
          <w:bCs/>
        </w:rPr>
        <w:t xml:space="preserve">’il y a un </w:t>
      </w:r>
      <w:r w:rsidRPr="00BA55CA">
        <w:rPr>
          <w:b/>
          <w:bCs/>
        </w:rPr>
        <w:t xml:space="preserve">risque pour les droits et libertés </w:t>
      </w:r>
      <w:r w:rsidRPr="00BA55CA">
        <w:rPr>
          <w:b/>
          <w:bCs/>
        </w:rPr>
        <w:t xml:space="preserve">et </w:t>
      </w:r>
      <w:r w:rsidRPr="00BA55CA">
        <w:rPr>
          <w:b/>
          <w:bCs/>
        </w:rPr>
        <w:t>inform</w:t>
      </w:r>
      <w:r w:rsidRPr="00BA55CA">
        <w:rPr>
          <w:b/>
          <w:bCs/>
        </w:rPr>
        <w:t>er</w:t>
      </w:r>
      <w:r w:rsidRPr="00BA55CA">
        <w:rPr>
          <w:b/>
          <w:bCs/>
        </w:rPr>
        <w:t xml:space="preserve"> des personnes </w:t>
      </w:r>
      <w:r w:rsidRPr="00BA55CA">
        <w:rPr>
          <w:b/>
          <w:bCs/>
        </w:rPr>
        <w:t xml:space="preserve">concernées </w:t>
      </w:r>
      <w:r w:rsidRPr="00BA55CA">
        <w:rPr>
          <w:b/>
          <w:bCs/>
        </w:rPr>
        <w:t>s</w:t>
      </w:r>
      <w:r w:rsidRPr="00BA55CA">
        <w:rPr>
          <w:b/>
          <w:bCs/>
        </w:rPr>
        <w:t>i le risque est</w:t>
      </w:r>
      <w:r w:rsidRPr="00BA55CA">
        <w:rPr>
          <w:b/>
          <w:bCs/>
        </w:rPr>
        <w:t xml:space="preserve"> risque </w:t>
      </w:r>
      <w:proofErr w:type="gramStart"/>
      <w:r w:rsidRPr="00BA55CA">
        <w:rPr>
          <w:b/>
          <w:bCs/>
        </w:rPr>
        <w:t>élevé</w:t>
      </w:r>
      <w:proofErr w:type="gramEnd"/>
      <w:r w:rsidRPr="00BA55CA">
        <w:rPr>
          <w:b/>
          <w:bCs/>
        </w:rPr>
        <w:t>.</w:t>
      </w:r>
    </w:p>
    <w:p w:rsidR="00BA55CA" w:rsidP="00BA55CA" w:rsidRDefault="00BA55CA" w14:paraId="58EC0B71" w14:textId="1BA7AE2A">
      <w:pPr>
        <w:pStyle w:val="Paragraphedeliste"/>
        <w:numPr>
          <w:ilvl w:val="0"/>
          <w:numId w:val="12"/>
        </w:numPr>
      </w:pPr>
      <w:r>
        <w:t>C’est une violation, mais la notification est obligatoire uniquement si les données étaient chiffrées avant l’attaque.</w:t>
      </w:r>
    </w:p>
    <w:p w:rsidR="00BA55CA" w:rsidP="00BA55CA" w:rsidRDefault="00BA55CA" w14:paraId="6E7837FC" w14:textId="36CFC7F2">
      <w:pPr>
        <w:pStyle w:val="Paragraphedeliste"/>
        <w:numPr>
          <w:ilvl w:val="0"/>
          <w:numId w:val="12"/>
        </w:numPr>
        <w:rPr/>
      </w:pPr>
      <w:r w:rsidR="2BBF9851">
        <w:rPr/>
        <w:t>C’est une violation seulement si les personnes sont identifiées nommément.</w:t>
      </w:r>
    </w:p>
    <w:p w:rsidR="29F6996C" w:rsidP="29F6996C" w:rsidRDefault="29F6996C" w14:paraId="16E26431" w14:textId="187A334F">
      <w:pPr>
        <w:pStyle w:val="Paragraphedeliste"/>
        <w:ind w:left="720"/>
      </w:pPr>
    </w:p>
    <w:p w:rsidRPr="00BA55CA" w:rsidR="00BA55CA" w:rsidP="00BA55CA" w:rsidRDefault="00BA55CA" w14:paraId="0DF40DA4" w14:textId="7D2F8FBF">
      <w:pPr>
        <w:pStyle w:val="NormalWeb"/>
        <w:rPr>
          <w:rFonts w:asciiTheme="minorHAnsi" w:hAnsiTheme="minorHAnsi"/>
        </w:rPr>
      </w:pPr>
      <w:r w:rsidRPr="00BA55CA">
        <w:rPr>
          <w:rFonts w:asciiTheme="minorHAnsi" w:hAnsiTheme="minorHAnsi"/>
        </w:rPr>
        <w:t xml:space="preserve">Q12 : </w:t>
      </w:r>
      <w:r w:rsidRPr="00BA55CA">
        <w:rPr>
          <w:rFonts w:asciiTheme="minorHAnsi" w:hAnsiTheme="minorHAnsi"/>
        </w:rPr>
        <w:t xml:space="preserve">Un ex-client demande la suppression de </w:t>
      </w:r>
      <w:r w:rsidRPr="00BA55CA">
        <w:rPr>
          <w:rFonts w:asciiTheme="minorHAnsi" w:hAnsiTheme="minorHAnsi"/>
        </w:rPr>
        <w:t>toutes ses données.</w:t>
      </w:r>
      <w:r w:rsidRPr="00BA55CA">
        <w:rPr>
          <w:rFonts w:asciiTheme="minorHAnsi" w:hAnsiTheme="minorHAnsi"/>
        </w:rPr>
        <w:t xml:space="preserve"> Quelle réponse est la plus conforme ?</w:t>
      </w:r>
    </w:p>
    <w:p w:rsidR="00BA55CA" w:rsidP="00BA55CA" w:rsidRDefault="00BA55CA" w14:paraId="4F24D881" w14:textId="759E404A">
      <w:pPr>
        <w:pStyle w:val="NormalWeb"/>
        <w:numPr>
          <w:ilvl w:val="0"/>
          <w:numId w:val="16"/>
        </w:numPr>
        <w:rPr>
          <w:rFonts w:asciiTheme="minorHAnsi" w:hAnsiTheme="minorHAnsi"/>
        </w:rPr>
      </w:pPr>
      <w:r>
        <w:rPr>
          <w:rFonts w:asciiTheme="minorHAnsi" w:hAnsiTheme="minorHAnsi"/>
        </w:rPr>
        <w:t>Il y a une o</w:t>
      </w:r>
      <w:r w:rsidRPr="00BA55CA">
        <w:rPr>
          <w:rFonts w:asciiTheme="minorHAnsi" w:hAnsiTheme="minorHAnsi"/>
        </w:rPr>
        <w:t xml:space="preserve">bligation de tout supprimer sans exception, </w:t>
      </w:r>
      <w:r>
        <w:rPr>
          <w:rFonts w:asciiTheme="minorHAnsi" w:hAnsiTheme="minorHAnsi"/>
        </w:rPr>
        <w:t>dans un délai d’un mois</w:t>
      </w:r>
    </w:p>
    <w:p w:rsidR="00BA55CA" w:rsidP="00BA55CA" w:rsidRDefault="00BA55CA" w14:paraId="1B717024" w14:textId="2F6D2F0F">
      <w:pPr>
        <w:pStyle w:val="NormalWeb"/>
        <w:numPr>
          <w:ilvl w:val="0"/>
          <w:numId w:val="16"/>
        </w:numPr>
        <w:rPr>
          <w:rFonts w:asciiTheme="minorHAnsi" w:hAnsiTheme="minorHAnsi"/>
        </w:rPr>
      </w:pPr>
      <w:r>
        <w:rPr>
          <w:rFonts w:asciiTheme="minorHAnsi" w:hAnsiTheme="minorHAnsi"/>
        </w:rPr>
        <w:t>Il faut s</w:t>
      </w:r>
      <w:r w:rsidRPr="00BA55CA">
        <w:rPr>
          <w:rFonts w:asciiTheme="minorHAnsi" w:hAnsiTheme="minorHAnsi"/>
        </w:rPr>
        <w:t>uppr</w:t>
      </w:r>
      <w:r>
        <w:rPr>
          <w:rFonts w:asciiTheme="minorHAnsi" w:hAnsiTheme="minorHAnsi"/>
        </w:rPr>
        <w:t>imer</w:t>
      </w:r>
      <w:r w:rsidRPr="00BA55CA">
        <w:rPr>
          <w:rFonts w:asciiTheme="minorHAnsi" w:hAnsiTheme="minorHAnsi"/>
        </w:rPr>
        <w:t xml:space="preserve"> uniquement si le client justifie un préjudice.</w:t>
      </w:r>
    </w:p>
    <w:p w:rsidRPr="00BA55CA" w:rsidR="00BA55CA" w:rsidP="00BA55CA" w:rsidRDefault="00BA55CA" w14:paraId="42831103" w14:textId="6EA6B69F">
      <w:pPr>
        <w:pStyle w:val="NormalWeb"/>
        <w:numPr>
          <w:ilvl w:val="0"/>
          <w:numId w:val="16"/>
        </w:numPr>
        <w:rPr>
          <w:rFonts w:asciiTheme="minorHAnsi" w:hAnsiTheme="minorHAnsi"/>
          <w:b/>
          <w:bCs/>
        </w:rPr>
      </w:pPr>
      <w:r w:rsidRPr="00BA55CA">
        <w:rPr>
          <w:rFonts w:asciiTheme="minorHAnsi" w:hAnsiTheme="minorHAnsi"/>
          <w:b/>
          <w:bCs/>
        </w:rPr>
        <w:t>Il faut a</w:t>
      </w:r>
      <w:r w:rsidRPr="00BA55CA">
        <w:rPr>
          <w:rFonts w:asciiTheme="minorHAnsi" w:hAnsiTheme="minorHAnsi"/>
          <w:b/>
          <w:bCs/>
        </w:rPr>
        <w:t>nalyse</w:t>
      </w:r>
      <w:r w:rsidRPr="00BA55CA">
        <w:rPr>
          <w:rFonts w:asciiTheme="minorHAnsi" w:hAnsiTheme="minorHAnsi"/>
          <w:b/>
          <w:bCs/>
        </w:rPr>
        <w:t>r</w:t>
      </w:r>
      <w:r w:rsidRPr="00BA55CA">
        <w:rPr>
          <w:rFonts w:asciiTheme="minorHAnsi" w:hAnsiTheme="minorHAnsi"/>
          <w:b/>
          <w:bCs/>
        </w:rPr>
        <w:t xml:space="preserve"> au cas par cas : effacer ce qui n’est plus nécessaire, mais conserver ce qui est requis (obligations légales, preuve, comptabilité), en limitant l’accès et en documentant.</w:t>
      </w:r>
    </w:p>
    <w:p w:rsidR="00BA55CA" w:rsidP="00BA55CA" w:rsidRDefault="00BA55CA" w14:paraId="66BC0359" w14:textId="49C654FC">
      <w:pPr>
        <w:pStyle w:val="NormalWeb"/>
        <w:numPr>
          <w:ilvl w:val="0"/>
          <w:numId w:val="16"/>
        </w:numPr>
        <w:rPr>
          <w:rFonts w:asciiTheme="minorHAnsi" w:hAnsiTheme="minorHAnsi"/>
        </w:rPr>
      </w:pPr>
      <w:r w:rsidRPr="29F6996C" w:rsidR="2BBF9851">
        <w:rPr>
          <w:rFonts w:ascii="Aptos" w:hAnsi="Aptos" w:asciiTheme="minorAscii" w:hAnsiTheme="minorAscii"/>
        </w:rPr>
        <w:t>Il faut r</w:t>
      </w:r>
      <w:r w:rsidRPr="29F6996C" w:rsidR="2BBF9851">
        <w:rPr>
          <w:rFonts w:ascii="Aptos" w:hAnsi="Aptos" w:asciiTheme="minorAscii" w:hAnsiTheme="minorAscii"/>
        </w:rPr>
        <w:t>efuser automatiquement si la base légale est l’intérêt légitime.</w:t>
      </w:r>
    </w:p>
    <w:p w:rsidR="29F6996C" w:rsidP="29F6996C" w:rsidRDefault="29F6996C" w14:paraId="09D574AF" w14:textId="6500A082">
      <w:pPr>
        <w:pStyle w:val="NormalWeb"/>
        <w:ind w:left="720"/>
        <w:rPr>
          <w:rFonts w:ascii="Aptos" w:hAnsi="Aptos" w:asciiTheme="minorAscii" w:hAnsiTheme="minorAscii"/>
        </w:rPr>
      </w:pPr>
    </w:p>
    <w:p w:rsidR="29F6996C" w:rsidP="29F6996C" w:rsidRDefault="29F6996C" w14:paraId="5489E8FC" w14:textId="2E0CA2C0">
      <w:pPr>
        <w:pStyle w:val="NormalWeb"/>
        <w:ind w:left="720"/>
        <w:rPr>
          <w:rFonts w:ascii="Aptos" w:hAnsi="Aptos" w:asciiTheme="minorAscii" w:hAnsiTheme="minorAscii"/>
        </w:rPr>
      </w:pPr>
    </w:p>
    <w:p w:rsidR="29F6996C" w:rsidP="29F6996C" w:rsidRDefault="29F6996C" w14:paraId="6BA1ACE4" w14:textId="0F5636E7">
      <w:pPr>
        <w:pStyle w:val="NormalWeb"/>
        <w:ind w:left="720"/>
        <w:rPr>
          <w:rFonts w:ascii="Aptos" w:hAnsi="Aptos" w:asciiTheme="minorAscii" w:hAnsiTheme="minorAscii"/>
        </w:rPr>
      </w:pPr>
    </w:p>
    <w:p w:rsidR="29F6996C" w:rsidP="29F6996C" w:rsidRDefault="29F6996C" w14:paraId="361B9316" w14:textId="5D1E8D23">
      <w:pPr>
        <w:pStyle w:val="NormalWeb"/>
        <w:ind w:left="720"/>
        <w:rPr>
          <w:rFonts w:ascii="Aptos" w:hAnsi="Aptos" w:asciiTheme="minorAscii" w:hAnsiTheme="minorAscii"/>
        </w:rPr>
      </w:pPr>
    </w:p>
    <w:p w:rsidR="29F6996C" w:rsidP="29F6996C" w:rsidRDefault="29F6996C" w14:paraId="468ED51C" w14:textId="68451DF1">
      <w:pPr>
        <w:pStyle w:val="NormalWeb"/>
        <w:ind w:left="720"/>
        <w:rPr>
          <w:rFonts w:ascii="Aptos" w:hAnsi="Aptos" w:asciiTheme="minorAscii" w:hAnsiTheme="minorAscii"/>
        </w:rPr>
      </w:pPr>
    </w:p>
    <w:p w:rsidRPr="00BA55CA" w:rsidR="00BA55CA" w:rsidP="00BA55CA" w:rsidRDefault="00BA55CA" w14:paraId="47F84F74" w14:textId="4DD5D967">
      <w:pPr>
        <w:pStyle w:val="NormalWeb"/>
        <w:rPr>
          <w:rFonts w:asciiTheme="minorHAnsi" w:hAnsiTheme="minorHAnsi"/>
        </w:rPr>
      </w:pPr>
      <w:r w:rsidRPr="00BA55CA">
        <w:rPr>
          <w:rFonts w:asciiTheme="minorHAnsi" w:hAnsiTheme="minorHAnsi"/>
        </w:rPr>
        <w:t xml:space="preserve">Q13 : </w:t>
      </w:r>
      <w:r w:rsidRPr="00BA55CA">
        <w:rPr>
          <w:rFonts w:asciiTheme="minorHAnsi" w:hAnsiTheme="minorHAnsi"/>
        </w:rPr>
        <w:t>Qui est concerné par l’obligation de tenir un registre des activités de traitement ?</w:t>
      </w:r>
    </w:p>
    <w:p w:rsidRPr="00BA55CA" w:rsidR="00BA55CA" w:rsidP="00BA55CA" w:rsidRDefault="00BA55CA" w14:paraId="42E4B67C" w14:textId="77777777">
      <w:pPr>
        <w:pStyle w:val="NormalWeb"/>
        <w:numPr>
          <w:ilvl w:val="0"/>
          <w:numId w:val="17"/>
        </w:numPr>
        <w:rPr>
          <w:rFonts w:asciiTheme="minorHAnsi" w:hAnsiTheme="minorHAnsi"/>
        </w:rPr>
      </w:pPr>
      <w:r w:rsidRPr="00BA55CA">
        <w:rPr>
          <w:rFonts w:asciiTheme="minorHAnsi" w:hAnsiTheme="minorHAnsi"/>
        </w:rPr>
        <w:t>Uniquement les entreprises de plus de 250 salariés.</w:t>
      </w:r>
    </w:p>
    <w:p w:rsidRPr="00BA55CA" w:rsidR="00BA55CA" w:rsidP="00BA55CA" w:rsidRDefault="00BA55CA" w14:paraId="0AED3799" w14:textId="77777777">
      <w:pPr>
        <w:pStyle w:val="NormalWeb"/>
        <w:numPr>
          <w:ilvl w:val="0"/>
          <w:numId w:val="17"/>
        </w:numPr>
        <w:rPr>
          <w:rFonts w:asciiTheme="minorHAnsi" w:hAnsiTheme="minorHAnsi"/>
        </w:rPr>
      </w:pPr>
      <w:r w:rsidRPr="00BA55CA">
        <w:rPr>
          <w:rFonts w:asciiTheme="minorHAnsi" w:hAnsiTheme="minorHAnsi"/>
        </w:rPr>
        <w:t>Personne : c’est optionnel si on a une politique de confidentialité.</w:t>
      </w:r>
    </w:p>
    <w:p w:rsidRPr="00BA55CA" w:rsidR="00BA55CA" w:rsidP="00BA55CA" w:rsidRDefault="00BA55CA" w14:paraId="2EB58E08" w14:textId="77777777">
      <w:pPr>
        <w:pStyle w:val="NormalWeb"/>
        <w:numPr>
          <w:ilvl w:val="0"/>
          <w:numId w:val="17"/>
        </w:numPr>
        <w:rPr>
          <w:rFonts w:asciiTheme="minorHAnsi" w:hAnsiTheme="minorHAnsi"/>
          <w:b/>
          <w:bCs/>
        </w:rPr>
      </w:pPr>
      <w:r w:rsidRPr="00BA55CA">
        <w:rPr>
          <w:rFonts w:asciiTheme="minorHAnsi" w:hAnsiTheme="minorHAnsi"/>
          <w:b/>
          <w:bCs/>
        </w:rPr>
        <w:lastRenderedPageBreak/>
        <w:t>En principe tous, avec une exemption limitée pour certaines organisations &lt;250 salariés, mais qui ne s’applique pas dès lors que les traitements ne sont pas occasionnels, ou comportent un risque, ou portent sur des catégories particulières, etc.</w:t>
      </w:r>
    </w:p>
    <w:p w:rsidR="00BA55CA" w:rsidP="00BA55CA" w:rsidRDefault="00BA55CA" w14:paraId="1C0CEED5" w14:textId="00BEB1BF">
      <w:pPr>
        <w:pStyle w:val="NormalWeb"/>
        <w:numPr>
          <w:ilvl w:val="0"/>
          <w:numId w:val="17"/>
        </w:numPr>
        <w:rPr>
          <w:rFonts w:asciiTheme="minorHAnsi" w:hAnsiTheme="minorHAnsi"/>
        </w:rPr>
      </w:pPr>
      <w:r w:rsidRPr="29F6996C" w:rsidR="2BBF9851">
        <w:rPr>
          <w:rFonts w:ascii="Aptos" w:hAnsi="Aptos" w:asciiTheme="minorAscii" w:hAnsiTheme="minorAscii"/>
        </w:rPr>
        <w:t>Uniquement les administrations publiques.</w:t>
      </w:r>
    </w:p>
    <w:p w:rsidR="29F6996C" w:rsidP="29F6996C" w:rsidRDefault="29F6996C" w14:paraId="6549A887" w14:textId="33964480">
      <w:pPr>
        <w:pStyle w:val="NormalWeb"/>
        <w:ind w:left="720"/>
        <w:rPr>
          <w:rFonts w:ascii="Aptos" w:hAnsi="Aptos" w:asciiTheme="minorAscii" w:hAnsiTheme="minorAscii"/>
        </w:rPr>
      </w:pPr>
    </w:p>
    <w:p w:rsidRPr="00BA55CA" w:rsidR="00BA55CA" w:rsidP="00BA55CA" w:rsidRDefault="00BA55CA" w14:paraId="7D8B35F7" w14:textId="77777777">
      <w:pPr>
        <w:pStyle w:val="NormalWeb"/>
        <w:rPr>
          <w:rFonts w:asciiTheme="minorHAnsi" w:hAnsiTheme="minorHAnsi"/>
        </w:rPr>
      </w:pPr>
      <w:r w:rsidRPr="00BA55CA">
        <w:rPr>
          <w:rFonts w:asciiTheme="minorHAnsi" w:hAnsiTheme="minorHAnsi"/>
        </w:rPr>
        <w:t xml:space="preserve">Q14 : </w:t>
      </w:r>
      <w:r w:rsidRPr="00BA55CA">
        <w:rPr>
          <w:rFonts w:asciiTheme="minorHAnsi" w:hAnsiTheme="minorHAnsi"/>
        </w:rPr>
        <w:t>Dans quel cas la désignation d’un DPO est-elle la plus clairement obligatoire ?</w:t>
      </w:r>
    </w:p>
    <w:p w:rsidRPr="00BA55CA" w:rsidR="00BA55CA" w:rsidP="00BA55CA" w:rsidRDefault="00BA55CA" w14:paraId="4B176B88" w14:textId="77777777">
      <w:pPr>
        <w:pStyle w:val="NormalWeb"/>
        <w:numPr>
          <w:ilvl w:val="0"/>
          <w:numId w:val="18"/>
        </w:numPr>
        <w:rPr>
          <w:rFonts w:asciiTheme="minorHAnsi" w:hAnsiTheme="minorHAnsi"/>
        </w:rPr>
      </w:pPr>
      <w:r w:rsidRPr="00BA55CA">
        <w:rPr>
          <w:rFonts w:asciiTheme="minorHAnsi" w:hAnsiTheme="minorHAnsi"/>
        </w:rPr>
        <w:t>Toute PME qui a un site web.</w:t>
      </w:r>
    </w:p>
    <w:p w:rsidRPr="00BA55CA" w:rsidR="00BA55CA" w:rsidP="00BA55CA" w:rsidRDefault="00BA55CA" w14:paraId="3249F4AA" w14:textId="77777777">
      <w:pPr>
        <w:pStyle w:val="NormalWeb"/>
        <w:numPr>
          <w:ilvl w:val="0"/>
          <w:numId w:val="18"/>
        </w:numPr>
        <w:rPr>
          <w:rFonts w:asciiTheme="minorHAnsi" w:hAnsiTheme="minorHAnsi"/>
        </w:rPr>
      </w:pPr>
      <w:r w:rsidRPr="00BA55CA">
        <w:rPr>
          <w:rFonts w:asciiTheme="minorHAnsi" w:hAnsiTheme="minorHAnsi"/>
        </w:rPr>
        <w:t>Toute entreprise qui fait du marketing.</w:t>
      </w:r>
    </w:p>
    <w:p w:rsidRPr="00BA55CA" w:rsidR="00BA55CA" w:rsidP="00BA55CA" w:rsidRDefault="00BA55CA" w14:paraId="26EA0299" w14:textId="77777777">
      <w:pPr>
        <w:pStyle w:val="NormalWeb"/>
        <w:numPr>
          <w:ilvl w:val="0"/>
          <w:numId w:val="18"/>
        </w:numPr>
        <w:rPr>
          <w:rFonts w:asciiTheme="minorHAnsi" w:hAnsiTheme="minorHAnsi"/>
          <w:b/>
          <w:bCs/>
        </w:rPr>
      </w:pPr>
      <w:r w:rsidRPr="00BA55CA">
        <w:rPr>
          <w:rFonts w:asciiTheme="minorHAnsi" w:hAnsiTheme="minorHAnsi"/>
          <w:b/>
          <w:bCs/>
        </w:rPr>
        <w:t>Une autorité/organisme public, ou une organisation dont les activités principales impliquent un suivi régulier et systématique à grande échelle, ou un traitement à grande échelle de catégories particulières / données pénales.</w:t>
      </w:r>
    </w:p>
    <w:p w:rsidRPr="00BA55CA" w:rsidR="00BA55CA" w:rsidP="00BA55CA" w:rsidRDefault="00BA55CA" w14:paraId="60A24142" w14:textId="49D5B769">
      <w:pPr>
        <w:pStyle w:val="NormalWeb"/>
        <w:numPr>
          <w:ilvl w:val="0"/>
          <w:numId w:val="18"/>
        </w:numPr>
        <w:rPr>
          <w:rFonts w:asciiTheme="minorHAnsi" w:hAnsiTheme="minorHAnsi"/>
        </w:rPr>
      </w:pPr>
      <w:r w:rsidRPr="00BA55CA">
        <w:rPr>
          <w:rFonts w:asciiTheme="minorHAnsi" w:hAnsiTheme="minorHAnsi"/>
        </w:rPr>
        <w:t>Uniquement si la CNIL le demande par écrit.</w:t>
      </w:r>
    </w:p>
    <w:p w:rsidRPr="00BA55CA" w:rsidR="00BA55CA" w:rsidP="00BA55CA" w:rsidRDefault="00BA55CA" w14:paraId="7A735561" w14:textId="4BAE7CD5">
      <w:pPr>
        <w:pStyle w:val="NormalWeb"/>
        <w:rPr>
          <w:rFonts w:asciiTheme="minorHAnsi" w:hAnsiTheme="minorHAnsi"/>
        </w:rPr>
      </w:pPr>
    </w:p>
    <w:p w:rsidRPr="00BA55CA" w:rsidR="00BA55CA" w:rsidP="00BA55CA" w:rsidRDefault="00BA55CA" w14:paraId="4E26813A" w14:textId="77777777">
      <w:pPr>
        <w:pStyle w:val="NormalWeb"/>
        <w:rPr>
          <w:rFonts w:asciiTheme="minorHAnsi" w:hAnsiTheme="minorHAnsi"/>
        </w:rPr>
      </w:pPr>
    </w:p>
    <w:p w:rsidR="00BA55CA" w:rsidP="00BA55CA" w:rsidRDefault="00BA55CA" w14:paraId="7D99645C" w14:textId="65699B56"/>
    <w:p w:rsidRPr="00BA55CA" w:rsidR="00BA55CA" w:rsidP="00BA55CA" w:rsidRDefault="00BA55CA" w14:paraId="701364DE" w14:textId="53F067C2"/>
    <w:sectPr w:rsidRPr="00BA55CA" w:rsidR="00BA55CA" w:rsidSect="009C45B8">
      <w:pgSz w:w="11906" w:h="16838" w:orient="portrait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E35"/>
    <w:multiLevelType w:val="hybridMultilevel"/>
    <w:tmpl w:val="7E9466F0"/>
    <w:lvl w:ilvl="0" w:tplc="D79879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E76F7"/>
    <w:multiLevelType w:val="hybridMultilevel"/>
    <w:tmpl w:val="1F9AA95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640BD"/>
    <w:multiLevelType w:val="hybridMultilevel"/>
    <w:tmpl w:val="1D409A76"/>
    <w:lvl w:ilvl="0" w:tplc="85AC9A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4648F"/>
    <w:multiLevelType w:val="hybridMultilevel"/>
    <w:tmpl w:val="B65686C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7692B"/>
    <w:multiLevelType w:val="hybridMultilevel"/>
    <w:tmpl w:val="AAD2BF3A"/>
    <w:lvl w:ilvl="0" w:tplc="FFFFFFFF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83177E"/>
    <w:multiLevelType w:val="hybridMultilevel"/>
    <w:tmpl w:val="554CD5F2"/>
    <w:lvl w:ilvl="0" w:tplc="D87485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4469D"/>
    <w:multiLevelType w:val="hybridMultilevel"/>
    <w:tmpl w:val="1E3ADC9C"/>
    <w:lvl w:ilvl="0" w:tplc="87705A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664FA"/>
    <w:multiLevelType w:val="hybridMultilevel"/>
    <w:tmpl w:val="6A4A205C"/>
    <w:lvl w:ilvl="0" w:tplc="E0B662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F2240"/>
    <w:multiLevelType w:val="hybridMultilevel"/>
    <w:tmpl w:val="DFA0861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E0D57"/>
    <w:multiLevelType w:val="hybridMultilevel"/>
    <w:tmpl w:val="AC4213E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A70C9B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E5BD8"/>
    <w:multiLevelType w:val="hybridMultilevel"/>
    <w:tmpl w:val="49FEF74A"/>
    <w:lvl w:ilvl="0" w:tplc="1570DA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7193E"/>
    <w:multiLevelType w:val="hybridMultilevel"/>
    <w:tmpl w:val="A478FFF4"/>
    <w:lvl w:ilvl="0" w:tplc="013476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26EEE"/>
    <w:multiLevelType w:val="hybridMultilevel"/>
    <w:tmpl w:val="C546A5D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2722D"/>
    <w:multiLevelType w:val="hybridMultilevel"/>
    <w:tmpl w:val="77241D46"/>
    <w:lvl w:ilvl="0" w:tplc="F418D0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9777A"/>
    <w:multiLevelType w:val="hybridMultilevel"/>
    <w:tmpl w:val="8500DBB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282E11"/>
    <w:multiLevelType w:val="hybridMultilevel"/>
    <w:tmpl w:val="B65686C8"/>
    <w:lvl w:ilvl="0" w:tplc="A448D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35082"/>
    <w:multiLevelType w:val="hybridMultilevel"/>
    <w:tmpl w:val="3E362FC4"/>
    <w:lvl w:ilvl="0" w:tplc="B50402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6E9D"/>
    <w:multiLevelType w:val="hybridMultilevel"/>
    <w:tmpl w:val="885CADC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214590">
    <w:abstractNumId w:val="5"/>
  </w:num>
  <w:num w:numId="2" w16cid:durableId="2117017267">
    <w:abstractNumId w:val="7"/>
  </w:num>
  <w:num w:numId="3" w16cid:durableId="1312372787">
    <w:abstractNumId w:val="6"/>
  </w:num>
  <w:num w:numId="4" w16cid:durableId="972947994">
    <w:abstractNumId w:val="16"/>
  </w:num>
  <w:num w:numId="5" w16cid:durableId="1335450938">
    <w:abstractNumId w:val="2"/>
  </w:num>
  <w:num w:numId="6" w16cid:durableId="1534070884">
    <w:abstractNumId w:val="11"/>
  </w:num>
  <w:num w:numId="7" w16cid:durableId="166407584">
    <w:abstractNumId w:val="10"/>
  </w:num>
  <w:num w:numId="8" w16cid:durableId="276528202">
    <w:abstractNumId w:val="0"/>
  </w:num>
  <w:num w:numId="9" w16cid:durableId="240259181">
    <w:abstractNumId w:val="15"/>
  </w:num>
  <w:num w:numId="10" w16cid:durableId="636496634">
    <w:abstractNumId w:val="13"/>
  </w:num>
  <w:num w:numId="11" w16cid:durableId="424033820">
    <w:abstractNumId w:val="3"/>
  </w:num>
  <w:num w:numId="12" w16cid:durableId="1127354767">
    <w:abstractNumId w:val="9"/>
  </w:num>
  <w:num w:numId="13" w16cid:durableId="532035129">
    <w:abstractNumId w:val="8"/>
  </w:num>
  <w:num w:numId="14" w16cid:durableId="80420486">
    <w:abstractNumId w:val="4"/>
  </w:num>
  <w:num w:numId="15" w16cid:durableId="2123649438">
    <w:abstractNumId w:val="14"/>
  </w:num>
  <w:num w:numId="16" w16cid:durableId="1607083145">
    <w:abstractNumId w:val="12"/>
  </w:num>
  <w:num w:numId="17" w16cid:durableId="107042998">
    <w:abstractNumId w:val="1"/>
  </w:num>
  <w:num w:numId="18" w16cid:durableId="11337874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dirty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17"/>
    <w:rsid w:val="00107F4C"/>
    <w:rsid w:val="001926C6"/>
    <w:rsid w:val="002847DC"/>
    <w:rsid w:val="00552B17"/>
    <w:rsid w:val="005F586D"/>
    <w:rsid w:val="00697EC2"/>
    <w:rsid w:val="009C45B8"/>
    <w:rsid w:val="00A14A19"/>
    <w:rsid w:val="00A60158"/>
    <w:rsid w:val="00A61C13"/>
    <w:rsid w:val="00BA55CA"/>
    <w:rsid w:val="00BB6B15"/>
    <w:rsid w:val="00D60402"/>
    <w:rsid w:val="00DA7C65"/>
    <w:rsid w:val="00EC272D"/>
    <w:rsid w:val="00EE2E6E"/>
    <w:rsid w:val="00F52CAE"/>
    <w:rsid w:val="29F6996C"/>
    <w:rsid w:val="2BBF9851"/>
    <w:rsid w:val="3186FE0B"/>
    <w:rsid w:val="47B507AE"/>
    <w:rsid w:val="7756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307707"/>
  <w15:chartTrackingRefBased/>
  <w15:docId w15:val="{85BE92D6-D5D7-D245-9F0D-900875F9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fr-FR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52B1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52B1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52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52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52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52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52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52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52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552B1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552B1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552B1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552B17"/>
    <w:rPr>
      <w:rFonts w:eastAsiaTheme="majorEastAsia" w:cstheme="majorBidi"/>
      <w:i/>
      <w:iCs/>
      <w:color w:val="0F476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552B17"/>
    <w:rPr>
      <w:rFonts w:eastAsiaTheme="majorEastAsia" w:cstheme="majorBidi"/>
      <w:color w:val="0F476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552B17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552B17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552B17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552B1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52B1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552B1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52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552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52B17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552B1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52B1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52B1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52B1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552B1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52B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926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Aconcia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Guillaume Carayon</dc:creator>
  <keywords/>
  <dc:description/>
  <lastModifiedBy>Guillaume Carayon</lastModifiedBy>
  <revision>4</revision>
  <dcterms:created xsi:type="dcterms:W3CDTF">2026-01-06T20:57:00.0000000Z</dcterms:created>
  <dcterms:modified xsi:type="dcterms:W3CDTF">2026-01-08T05:13:14.5398302Z</dcterms:modified>
</coreProperties>
</file>